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4523D" w14:textId="77777777" w:rsidR="000A2698" w:rsidRPr="00105C8E" w:rsidRDefault="000A2698" w:rsidP="000A2698">
      <w:pPr>
        <w:jc w:val="center"/>
        <w:rPr>
          <w:rFonts w:ascii="Cambria" w:hAnsi="Cambria"/>
          <w:b/>
          <w:sz w:val="28"/>
          <w:szCs w:val="28"/>
        </w:rPr>
      </w:pPr>
    </w:p>
    <w:p w14:paraId="06F3D1D2" w14:textId="77777777" w:rsidR="000A2698" w:rsidRPr="00105C8E" w:rsidRDefault="000A2698" w:rsidP="000A2698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52C508BB" w14:textId="77777777" w:rsidR="000A2698" w:rsidRPr="00105C8E" w:rsidRDefault="000A2698" w:rsidP="000A2698">
      <w:pPr>
        <w:rPr>
          <w:rFonts w:ascii="Cambria" w:hAnsi="Cambria"/>
          <w:b/>
          <w:sz w:val="20"/>
          <w:szCs w:val="20"/>
          <w:u w:val="single"/>
        </w:rPr>
      </w:pPr>
    </w:p>
    <w:p w14:paraId="4720CC1C" w14:textId="33CBBE4D" w:rsidR="000A2698" w:rsidRDefault="000A2698" w:rsidP="000A2698">
      <w:pPr>
        <w:spacing w:line="264" w:lineRule="auto"/>
        <w:ind w:left="1843" w:hanging="1843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 xml:space="preserve">Predmet zákazky: </w:t>
      </w:r>
      <w:r>
        <w:rPr>
          <w:rFonts w:ascii="Cambria" w:hAnsi="Cambria" w:cs="Arial"/>
          <w:bCs/>
          <w:color w:val="auto"/>
          <w:sz w:val="20"/>
          <w:szCs w:val="20"/>
        </w:rPr>
        <w:tab/>
      </w:r>
      <w:r w:rsidRPr="000A2698">
        <w:rPr>
          <w:rFonts w:ascii="Cambria" w:hAnsi="Cambria"/>
          <w:b/>
          <w:bCs/>
          <w:sz w:val="20"/>
          <w:szCs w:val="20"/>
        </w:rPr>
        <w:t>Modernizácia verejného osvetlenia mesta Stupava s využitím garantovanej energetickej služby</w:t>
      </w:r>
    </w:p>
    <w:p w14:paraId="2A50616C" w14:textId="77777777" w:rsidR="000A2698" w:rsidRPr="00105C8E" w:rsidRDefault="000A2698" w:rsidP="000A2698">
      <w:pPr>
        <w:spacing w:line="264" w:lineRule="auto"/>
        <w:ind w:left="1843" w:hanging="1843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0A2698" w:rsidRPr="00105C8E" w14:paraId="013FCC6E" w14:textId="77777777" w:rsidTr="00605C39">
        <w:trPr>
          <w:trHeight w:val="501"/>
        </w:trPr>
        <w:tc>
          <w:tcPr>
            <w:tcW w:w="2473" w:type="pct"/>
            <w:shd w:val="clear" w:color="auto" w:fill="BFBFBF"/>
          </w:tcPr>
          <w:p w14:paraId="504339B1" w14:textId="77777777" w:rsidR="000A2698" w:rsidRPr="00105C8E" w:rsidRDefault="000A2698" w:rsidP="00605C39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092E3E" w14:textId="77777777" w:rsidR="000A2698" w:rsidRPr="00105C8E" w:rsidRDefault="000A2698" w:rsidP="00605C39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0A2698" w:rsidRPr="00105C8E" w14:paraId="394DC124" w14:textId="77777777" w:rsidTr="00605C39">
        <w:trPr>
          <w:trHeight w:val="306"/>
        </w:trPr>
        <w:tc>
          <w:tcPr>
            <w:tcW w:w="2473" w:type="pct"/>
            <w:shd w:val="clear" w:color="auto" w:fill="BFBFBF"/>
          </w:tcPr>
          <w:p w14:paraId="07924B84" w14:textId="77777777" w:rsidR="000A2698" w:rsidRPr="00105C8E" w:rsidRDefault="000A2698" w:rsidP="00605C39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1267B93C" w14:textId="77777777" w:rsidR="000A2698" w:rsidRPr="00105C8E" w:rsidRDefault="000A2698" w:rsidP="00605C39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3039ED34" w14:textId="77777777" w:rsidR="000A2698" w:rsidRPr="00105C8E" w:rsidRDefault="000A2698" w:rsidP="00605C39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0A2698" w:rsidRPr="00105C8E" w14:paraId="2C1BD9B2" w14:textId="77777777" w:rsidTr="00605C39">
        <w:trPr>
          <w:trHeight w:val="513"/>
        </w:trPr>
        <w:tc>
          <w:tcPr>
            <w:tcW w:w="2473" w:type="pct"/>
            <w:shd w:val="clear" w:color="auto" w:fill="BFBFBF"/>
          </w:tcPr>
          <w:p w14:paraId="76F74AB8" w14:textId="77777777" w:rsidR="000A2698" w:rsidRPr="00105C8E" w:rsidRDefault="000A2698" w:rsidP="00605C39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07FA65B1" w14:textId="77777777" w:rsidR="000A2698" w:rsidRPr="00105C8E" w:rsidRDefault="000A2698" w:rsidP="00605C39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koeficient ekonomickej výhodnosti</w:t>
            </w:r>
          </w:p>
        </w:tc>
      </w:tr>
    </w:tbl>
    <w:p w14:paraId="437B4374" w14:textId="77777777" w:rsidR="000A2698" w:rsidRPr="00105C8E" w:rsidRDefault="000A2698" w:rsidP="000A2698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AD77F0C" w14:textId="77777777" w:rsidR="000A2698" w:rsidRPr="00105C8E" w:rsidRDefault="000A2698" w:rsidP="000A2698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0A2698" w:rsidRPr="00105C8E" w14:paraId="5BB53C08" w14:textId="77777777" w:rsidTr="00605C39">
        <w:trPr>
          <w:trHeight w:val="265"/>
          <w:jc w:val="center"/>
        </w:trPr>
        <w:tc>
          <w:tcPr>
            <w:tcW w:w="9144" w:type="dxa"/>
            <w:gridSpan w:val="6"/>
            <w:shd w:val="clear" w:color="auto" w:fill="BFBFBF"/>
            <w:vAlign w:val="center"/>
          </w:tcPr>
          <w:p w14:paraId="6831DB41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Zmluva o energetickej efektívnosti pre verejný sektor</w:t>
            </w:r>
          </w:p>
        </w:tc>
      </w:tr>
      <w:tr w:rsidR="000A2698" w:rsidRPr="00105C8E" w14:paraId="56310386" w14:textId="77777777" w:rsidTr="00605C39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2CCDC91" w14:textId="77777777" w:rsidR="000A2698" w:rsidRPr="00105C8E" w:rsidRDefault="000A2698" w:rsidP="00605C39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8368277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7E37D642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3F23A9AC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0A2698" w:rsidRPr="00105C8E" w14:paraId="1D829A7A" w14:textId="77777777" w:rsidTr="00605C39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16115EE" w14:textId="77777777" w:rsidR="000A2698" w:rsidRPr="00105C8E" w:rsidRDefault="000A2698" w:rsidP="00605C3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6</w:t>
            </w:r>
          </w:p>
        </w:tc>
        <w:tc>
          <w:tcPr>
            <w:tcW w:w="2930" w:type="dxa"/>
            <w:vAlign w:val="center"/>
          </w:tcPr>
          <w:p w14:paraId="749314AA" w14:textId="77777777" w:rsidR="000A2698" w:rsidRPr="00105C8E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A</w:t>
            </w:r>
            <w:r>
              <w:rPr>
                <w:rFonts w:ascii="Cambria" w:hAnsi="Cambria" w:cs="Arial"/>
                <w:b/>
                <w:szCs w:val="20"/>
              </w:rPr>
              <w:t>(r)</w:t>
            </w:r>
            <w:r w:rsidRPr="00105C8E">
              <w:rPr>
                <w:rFonts w:ascii="Cambria" w:hAnsi="Cambria" w:cs="Arial"/>
                <w:b/>
                <w:szCs w:val="20"/>
              </w:rPr>
              <w:t xml:space="preserve"> = </w:t>
            </w:r>
            <w:r>
              <w:rPr>
                <w:rFonts w:ascii="Cambria" w:hAnsi="Cambria" w:cs="Arial"/>
                <w:b/>
                <w:szCs w:val="20"/>
              </w:rPr>
              <w:t>Garantované</w:t>
            </w:r>
            <w:r w:rsidRPr="00105C8E">
              <w:rPr>
                <w:rFonts w:ascii="Cambria" w:hAnsi="Cambria" w:cs="Arial"/>
                <w:b/>
                <w:szCs w:val="20"/>
              </w:rPr>
              <w:t xml:space="preserve"> ročné úspory</w:t>
            </w:r>
          </w:p>
          <w:p w14:paraId="498CA95B" w14:textId="25ACECAC" w:rsidR="000A2698" w:rsidRPr="00105C8E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(vypočítan</w:t>
            </w:r>
            <w:r>
              <w:rPr>
                <w:rFonts w:ascii="Cambria" w:hAnsi="Cambria" w:cs="Arial"/>
                <w:b/>
                <w:szCs w:val="20"/>
              </w:rPr>
              <w:t>é</w:t>
            </w:r>
            <w:r w:rsidRPr="00105C8E">
              <w:rPr>
                <w:rFonts w:ascii="Cambria" w:hAnsi="Cambria" w:cs="Arial"/>
                <w:b/>
                <w:szCs w:val="20"/>
              </w:rPr>
              <w:t xml:space="preserve"> ako súčet hodnôt </w:t>
            </w:r>
            <w:r>
              <w:rPr>
                <w:rFonts w:ascii="Cambria" w:hAnsi="Cambria" w:cs="Arial"/>
                <w:b/>
                <w:szCs w:val="20"/>
              </w:rPr>
              <w:t>garantovaných</w:t>
            </w:r>
            <w:r w:rsidRPr="00105C8E">
              <w:rPr>
                <w:rFonts w:ascii="Cambria" w:hAnsi="Cambria" w:cs="Arial"/>
                <w:b/>
                <w:szCs w:val="20"/>
              </w:rPr>
              <w:t xml:space="preserve"> ročných úspor nákladov vrátane DPH)</w:t>
            </w:r>
          </w:p>
        </w:tc>
        <w:tc>
          <w:tcPr>
            <w:tcW w:w="1140" w:type="dxa"/>
            <w:vAlign w:val="center"/>
          </w:tcPr>
          <w:p w14:paraId="3449DB9B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  <w:highlight w:val="yellow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107A9118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491CF9A5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77A2040F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  <w:r>
              <w:rPr>
                <w:rStyle w:val="FootnoteReference"/>
                <w:rFonts w:ascii="Cambria" w:hAnsi="Cambria" w:cs="Arial"/>
                <w:bCs/>
                <w:szCs w:val="20"/>
              </w:rPr>
              <w:footnoteReference w:id="1"/>
            </w:r>
          </w:p>
        </w:tc>
      </w:tr>
      <w:tr w:rsidR="000A2698" w:rsidRPr="00105C8E" w14:paraId="5DE8BB47" w14:textId="77777777" w:rsidTr="00605C39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66D0ADE" w14:textId="77777777" w:rsidR="000A2698" w:rsidRPr="00105C8E" w:rsidRDefault="000A2698" w:rsidP="00605C3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1046CA9B" w14:textId="77777777" w:rsidR="000A2698" w:rsidRPr="00986450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  <w:u w:val="single"/>
              </w:rPr>
            </w:pPr>
            <w:r w:rsidRPr="00986450">
              <w:rPr>
                <w:rFonts w:ascii="Cambria" w:hAnsi="Cambria" w:cs="Arial"/>
                <w:b/>
                <w:szCs w:val="20"/>
                <w:u w:val="single"/>
              </w:rPr>
              <w:t>Hodnota Kritéria (A)</w:t>
            </w:r>
          </w:p>
          <w:p w14:paraId="06D75BA0" w14:textId="77777777" w:rsidR="000A2698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>Celkové garantované úspory počas celej doby trvania zmluvy vrátane DPH</w:t>
            </w:r>
          </w:p>
          <w:p w14:paraId="0EE2CF43" w14:textId="317F8DD0" w:rsidR="000A2698" w:rsidRPr="00105C8E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 xml:space="preserve">(vypočítané ako súčin celkových ročných úspor – hodnota A(r) x počet </w:t>
            </w:r>
            <w:r w:rsidR="006F130D">
              <w:rPr>
                <w:rFonts w:ascii="Cambria" w:hAnsi="Cambria" w:cs="Arial"/>
                <w:b/>
                <w:szCs w:val="20"/>
              </w:rPr>
              <w:t>r</w:t>
            </w:r>
            <w:r>
              <w:rPr>
                <w:rFonts w:ascii="Cambria" w:hAnsi="Cambria" w:cs="Arial"/>
                <w:b/>
                <w:szCs w:val="20"/>
              </w:rPr>
              <w:t xml:space="preserve">okov trvania Obdobia </w:t>
            </w:r>
            <w:r w:rsidRPr="00D10FAA">
              <w:rPr>
                <w:rFonts w:ascii="Cambria" w:hAnsi="Cambria" w:cs="Arial"/>
                <w:b/>
                <w:szCs w:val="20"/>
              </w:rPr>
              <w:t>garancie (</w:t>
            </w:r>
            <w:r w:rsidR="00C64DB4" w:rsidRPr="00D10FAA">
              <w:rPr>
                <w:rFonts w:ascii="Cambria" w:hAnsi="Cambria" w:cs="Arial"/>
                <w:b/>
                <w:szCs w:val="20"/>
              </w:rPr>
              <w:t>11</w:t>
            </w:r>
            <w:r w:rsidR="009C40AD" w:rsidRPr="00D10FAA">
              <w:rPr>
                <w:rFonts w:ascii="Cambria" w:hAnsi="Cambria" w:cs="Arial"/>
                <w:b/>
                <w:szCs w:val="20"/>
              </w:rPr>
              <w:t xml:space="preserve"> </w:t>
            </w:r>
            <w:r w:rsidRPr="00D10FAA">
              <w:rPr>
                <w:rFonts w:ascii="Cambria" w:hAnsi="Cambria" w:cs="Arial"/>
                <w:b/>
                <w:szCs w:val="20"/>
              </w:rPr>
              <w:t xml:space="preserve">rokov) = (A) x </w:t>
            </w:r>
            <w:r w:rsidR="00C64DB4" w:rsidRPr="00D10FAA">
              <w:rPr>
                <w:rFonts w:ascii="Cambria" w:hAnsi="Cambria" w:cs="Arial"/>
                <w:b/>
                <w:szCs w:val="20"/>
              </w:rPr>
              <w:t>11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2E35F16B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667B5290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241B3D19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4403B94E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  <w:r>
              <w:rPr>
                <w:rStyle w:val="FootnoteReference"/>
                <w:rFonts w:ascii="Cambria" w:hAnsi="Cambria" w:cs="Arial"/>
                <w:bCs/>
                <w:szCs w:val="20"/>
              </w:rPr>
              <w:footnoteReference w:id="2"/>
            </w:r>
          </w:p>
        </w:tc>
      </w:tr>
      <w:tr w:rsidR="000A2698" w:rsidRPr="00105C8E" w14:paraId="557F4A3D" w14:textId="77777777" w:rsidTr="00605C39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46579BF" w14:textId="77777777" w:rsidR="000A2698" w:rsidRPr="00105C8E" w:rsidRDefault="000A2698" w:rsidP="00605C3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7</w:t>
            </w:r>
          </w:p>
        </w:tc>
        <w:tc>
          <w:tcPr>
            <w:tcW w:w="2930" w:type="dxa"/>
            <w:vAlign w:val="center"/>
          </w:tcPr>
          <w:p w14:paraId="03FC5DE5" w14:textId="77777777" w:rsidR="000A2698" w:rsidRPr="00105C8E" w:rsidRDefault="000A2698" w:rsidP="00605C39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105C8E">
              <w:rPr>
                <w:rFonts w:ascii="Cambria" w:hAnsi="Cambria" w:cs="Arial"/>
                <w:b/>
                <w:color w:val="auto"/>
              </w:rPr>
              <w:t xml:space="preserve">B1 = </w:t>
            </w:r>
            <w:r>
              <w:rPr>
                <w:rFonts w:ascii="Cambria" w:hAnsi="Cambria" w:cs="Arial"/>
                <w:b/>
                <w:color w:val="auto"/>
              </w:rPr>
              <w:t>Celková c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ena za Obnovu </w:t>
            </w:r>
          </w:p>
          <w:p w14:paraId="03AAD4F0" w14:textId="16607ED7" w:rsidR="000A2698" w:rsidRPr="00105C8E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 xml:space="preserve">(vypočítaná ako súčet hodnôt ceny za realizáciu všetkých </w:t>
            </w:r>
            <w:r w:rsidR="006F130D">
              <w:rPr>
                <w:rFonts w:ascii="Cambria" w:hAnsi="Cambria" w:cs="Arial"/>
                <w:b/>
                <w:szCs w:val="20"/>
              </w:rPr>
              <w:t xml:space="preserve">činností podľa </w:t>
            </w:r>
            <w:r w:rsidR="004D7353">
              <w:rPr>
                <w:rFonts w:ascii="Cambria" w:hAnsi="Cambria" w:cs="Arial"/>
                <w:b/>
                <w:szCs w:val="20"/>
              </w:rPr>
              <w:t>Prílohy C2A – Výkaz výmer GES súťažných podkladov</w:t>
            </w:r>
            <w:r w:rsidRPr="00105C8E">
              <w:rPr>
                <w:rFonts w:ascii="Cambria" w:hAnsi="Cambria" w:cs="Arial"/>
                <w:b/>
                <w:szCs w:val="20"/>
              </w:rPr>
              <w:t>)</w:t>
            </w:r>
          </w:p>
        </w:tc>
        <w:tc>
          <w:tcPr>
            <w:tcW w:w="1140" w:type="dxa"/>
            <w:vAlign w:val="center"/>
          </w:tcPr>
          <w:p w14:paraId="4BB7BE3F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630A6687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210C3B9C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6D579F18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  <w:tr w:rsidR="000A2698" w:rsidRPr="00105C8E" w14:paraId="072A887C" w14:textId="77777777" w:rsidTr="00605C39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0F4FDD01" w14:textId="77777777" w:rsidR="000A2698" w:rsidRPr="00105C8E" w:rsidRDefault="000A2698" w:rsidP="00605C3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10</w:t>
            </w:r>
          </w:p>
        </w:tc>
        <w:tc>
          <w:tcPr>
            <w:tcW w:w="2930" w:type="dxa"/>
            <w:vAlign w:val="center"/>
          </w:tcPr>
          <w:p w14:paraId="05DE36D9" w14:textId="4BDEE456" w:rsidR="000A2698" w:rsidRPr="00105C8E" w:rsidRDefault="000A2698" w:rsidP="00605C39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105C8E">
              <w:rPr>
                <w:rFonts w:ascii="Cambria" w:hAnsi="Cambria" w:cs="Arial"/>
                <w:b/>
                <w:color w:val="auto"/>
              </w:rPr>
              <w:t>B2 = C</w:t>
            </w:r>
            <w:r>
              <w:rPr>
                <w:rFonts w:ascii="Cambria" w:hAnsi="Cambria" w:cs="Arial"/>
                <w:b/>
                <w:color w:val="auto"/>
              </w:rPr>
              <w:t>elková c</w:t>
            </w:r>
            <w:r w:rsidRPr="00105C8E">
              <w:rPr>
                <w:rFonts w:ascii="Cambria" w:hAnsi="Cambria" w:cs="Arial"/>
                <w:b/>
                <w:color w:val="auto"/>
              </w:rPr>
              <w:t>ena za súvisiace Služby</w:t>
            </w:r>
            <w:r w:rsidR="004D7353">
              <w:rPr>
                <w:rFonts w:ascii="Cambria" w:hAnsi="Cambria" w:cs="Arial"/>
                <w:b/>
                <w:color w:val="auto"/>
              </w:rPr>
              <w:t xml:space="preserve"> počas celého trvania Obdobia garancie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 </w:t>
            </w:r>
          </w:p>
          <w:p w14:paraId="38EAE140" w14:textId="77777777" w:rsidR="000A2698" w:rsidRPr="00105C8E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(</w:t>
            </w:r>
            <w:r w:rsidRPr="005B7667">
              <w:rPr>
                <w:rFonts w:ascii="Cambria" w:hAnsi="Cambria" w:cs="Arial"/>
                <w:b/>
                <w:szCs w:val="20"/>
              </w:rPr>
              <w:t>ako je tento pojem definovaný v Zmluve o energetickej efektívnosti)</w:t>
            </w:r>
          </w:p>
        </w:tc>
        <w:tc>
          <w:tcPr>
            <w:tcW w:w="1140" w:type="dxa"/>
            <w:vAlign w:val="center"/>
          </w:tcPr>
          <w:p w14:paraId="25D0137E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3A8887F0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22D3E0C0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3561E211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  <w:tr w:rsidR="000A2698" w:rsidRPr="00105C8E" w14:paraId="25155839" w14:textId="77777777" w:rsidTr="00605C39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05C2BC84" w14:textId="77777777" w:rsidR="000A2698" w:rsidRPr="00105C8E" w:rsidRDefault="000A2698" w:rsidP="00605C3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1AC6C1A9" w14:textId="77777777" w:rsidR="000A2698" w:rsidRPr="00986450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  <w:u w:val="single"/>
              </w:rPr>
            </w:pPr>
            <w:r w:rsidRPr="00986450">
              <w:rPr>
                <w:rFonts w:ascii="Cambria" w:hAnsi="Cambria" w:cs="Arial"/>
                <w:b/>
                <w:szCs w:val="20"/>
                <w:u w:val="single"/>
              </w:rPr>
              <w:t>Hodnota Kritéria (B)</w:t>
            </w:r>
          </w:p>
          <w:p w14:paraId="56004297" w14:textId="77777777" w:rsidR="000A2698" w:rsidRPr="008E359D" w:rsidRDefault="000A2698" w:rsidP="00605C39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8E359D">
              <w:rPr>
                <w:rFonts w:ascii="Cambria" w:hAnsi="Cambria" w:cs="Arial"/>
                <w:b/>
                <w:color w:val="auto"/>
              </w:rPr>
              <w:t>Celková cena za realizáciu zmluvy o energetickej efektívnosti</w:t>
            </w:r>
          </w:p>
          <w:p w14:paraId="63077EA8" w14:textId="77777777" w:rsidR="000A2698" w:rsidRPr="008E359D" w:rsidRDefault="000A2698" w:rsidP="00605C39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8E359D">
              <w:rPr>
                <w:rFonts w:ascii="Cambria" w:hAnsi="Cambria" w:cs="Arial"/>
                <w:b/>
                <w:color w:val="auto"/>
              </w:rPr>
              <w:t>(vypočítaná ako súčet hodnôt B1 + B2)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3192F123" w14:textId="77777777" w:rsidR="000A2698" w:rsidRPr="008E359D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8E359D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6D399A16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55D93E0B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0A2E162C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</w:tbl>
    <w:p w14:paraId="3EE64C10" w14:textId="77777777" w:rsidR="000A2698" w:rsidRPr="00105C8E" w:rsidRDefault="000A2698" w:rsidP="000A2698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2400D4FC" w14:textId="40FEB5EE" w:rsidR="002F3951" w:rsidRDefault="002F3951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br w:type="page"/>
      </w:r>
    </w:p>
    <w:p w14:paraId="0696527E" w14:textId="77777777" w:rsidR="000A2698" w:rsidRPr="00105C8E" w:rsidRDefault="000A2698" w:rsidP="000A2698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0A2698" w:rsidRPr="00105C8E" w14:paraId="0AC97DBB" w14:textId="77777777" w:rsidTr="00605C39">
        <w:trPr>
          <w:trHeight w:val="265"/>
          <w:jc w:val="center"/>
        </w:trPr>
        <w:tc>
          <w:tcPr>
            <w:tcW w:w="9144" w:type="dxa"/>
            <w:gridSpan w:val="6"/>
            <w:shd w:val="clear" w:color="auto" w:fill="BFBFBF"/>
            <w:vAlign w:val="center"/>
          </w:tcPr>
          <w:p w14:paraId="4EF792D9" w14:textId="108F455D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Zmluva o</w:t>
            </w:r>
            <w:r w:rsidR="00DF08D7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 </w:t>
            </w:r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Dielo</w:t>
            </w:r>
            <w:r w:rsidR="00DF08D7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97750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a o poskytovaní služieb prevádzky a údržby verejného osvetlenia</w:t>
            </w:r>
          </w:p>
        </w:tc>
      </w:tr>
      <w:tr w:rsidR="000A2698" w:rsidRPr="00105C8E" w14:paraId="68675099" w14:textId="77777777" w:rsidTr="00605C39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6EE91BD0" w14:textId="77777777" w:rsidR="000A2698" w:rsidRPr="00105C8E" w:rsidRDefault="000A2698" w:rsidP="00605C39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7FDCF332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5A6AB016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49F21DA0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1D52CD" w:rsidRPr="00105C8E" w14:paraId="3544E407" w14:textId="77777777" w:rsidTr="00AF544C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8E9E8A2" w14:textId="77777777" w:rsidR="001D52CD" w:rsidRPr="00105C8E" w:rsidRDefault="001D52CD" w:rsidP="001D5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278C071B" w14:textId="77777777" w:rsidR="001D52CD" w:rsidRPr="00BC06EE" w:rsidRDefault="001D52CD" w:rsidP="001D52CD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BC06EE">
              <w:rPr>
                <w:rFonts w:ascii="Cambria" w:hAnsi="Cambria" w:cs="Arial"/>
                <w:b/>
                <w:szCs w:val="20"/>
              </w:rPr>
              <w:t xml:space="preserve">C1 = </w:t>
            </w:r>
            <w:r w:rsidRPr="00BC06EE">
              <w:rPr>
                <w:rFonts w:ascii="Cambria" w:hAnsi="Cambria" w:cs="Arial"/>
                <w:b/>
                <w:color w:val="auto"/>
              </w:rPr>
              <w:t>Celková cena za Dielo</w:t>
            </w:r>
          </w:p>
          <w:p w14:paraId="008E731C" w14:textId="56E8442B" w:rsidR="001D52CD" w:rsidRPr="00BC06EE" w:rsidRDefault="001D52CD" w:rsidP="001D52CD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BC06EE">
              <w:rPr>
                <w:rFonts w:ascii="Cambria" w:hAnsi="Cambria" w:cs="Arial"/>
                <w:b/>
                <w:szCs w:val="20"/>
              </w:rPr>
              <w:t>(vypočítaná ako súčet hodnôt ceny za realizáciu všetkých činností podľa Prílohy C2B – Výkaz výmer NIE GES súťažných podkladov)</w:t>
            </w:r>
          </w:p>
        </w:tc>
        <w:tc>
          <w:tcPr>
            <w:tcW w:w="1140" w:type="dxa"/>
            <w:shd w:val="clear" w:color="auto" w:fill="auto"/>
          </w:tcPr>
          <w:p w14:paraId="73E2ADFE" w14:textId="30EA624F" w:rsidR="001D52CD" w:rsidRPr="00105C8E" w:rsidRDefault="001D52CD" w:rsidP="001D52CD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2F0158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5A39EBA6" w14:textId="179303E1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7B1226C7" w14:textId="7E087E17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02669A94" w14:textId="26DA30C4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  <w:tr w:rsidR="001D52CD" w:rsidRPr="00105C8E" w14:paraId="2311C89F" w14:textId="77777777" w:rsidTr="00AF544C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031F2E8C" w14:textId="77777777" w:rsidR="001D52CD" w:rsidRPr="00105C8E" w:rsidRDefault="001D52CD" w:rsidP="001D5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5E49708C" w14:textId="04C13038" w:rsidR="001D52CD" w:rsidRPr="00BC06EE" w:rsidRDefault="001D52CD" w:rsidP="001D52CD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 xml:space="preserve">Jednotková cena </w:t>
            </w:r>
            <w:r w:rsidRPr="00BC06EE">
              <w:rPr>
                <w:rFonts w:ascii="Cambria" w:hAnsi="Cambria" w:cs="Arial"/>
                <w:b/>
                <w:szCs w:val="20"/>
              </w:rPr>
              <w:t>za poskytovanie Služby prevádzky a údržby Sústavy verejného osvetlenia</w:t>
            </w:r>
            <w:r>
              <w:t xml:space="preserve"> </w:t>
            </w:r>
            <w:r w:rsidRPr="00B327B5">
              <w:rPr>
                <w:rFonts w:ascii="Cambria" w:hAnsi="Cambria" w:cs="Arial"/>
                <w:b/>
                <w:szCs w:val="20"/>
              </w:rPr>
              <w:t>za (1) mesiac pripadajúca na (1) svetelný bod</w:t>
            </w:r>
            <w:r>
              <w:rPr>
                <w:rFonts w:ascii="Cambria" w:hAnsi="Cambria" w:cs="Arial"/>
                <w:b/>
                <w:szCs w:val="20"/>
              </w:rPr>
              <w:t xml:space="preserve"> </w:t>
            </w:r>
          </w:p>
        </w:tc>
        <w:tc>
          <w:tcPr>
            <w:tcW w:w="1140" w:type="dxa"/>
            <w:shd w:val="clear" w:color="auto" w:fill="auto"/>
          </w:tcPr>
          <w:p w14:paraId="426F93D6" w14:textId="2ACA308A" w:rsidR="001D52CD" w:rsidRPr="00105C8E" w:rsidRDefault="001D52CD" w:rsidP="001D52CD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2F0158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4D875594" w14:textId="4BB198A3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doplniť kladné číslo zaokrúhlené na max. </w:t>
            </w:r>
            <w:r w:rsidR="00086E7C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4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5BEAEAA0" w14:textId="2D4C4B56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doplniť kladné číslo zaokrúhlené na </w:t>
            </w:r>
            <w:r w:rsidR="00086E7C"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max. </w:t>
            </w:r>
            <w:r w:rsidR="00086E7C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4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5E37F07D" w14:textId="1A28B811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doplniť kladné číslo zaokrúhlené na </w:t>
            </w:r>
            <w:r w:rsidR="00086E7C"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max. </w:t>
            </w:r>
            <w:r w:rsidR="00086E7C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4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  <w:tr w:rsidR="001D52CD" w:rsidRPr="00105C8E" w14:paraId="1B24AB3A" w14:textId="77777777" w:rsidTr="00AF544C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4FD6C6D" w14:textId="77777777" w:rsidR="001D52CD" w:rsidRPr="00105C8E" w:rsidRDefault="001D52CD" w:rsidP="001D5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493578A0" w14:textId="79029C72" w:rsidR="001D52CD" w:rsidRPr="00BC06EE" w:rsidRDefault="001D52CD" w:rsidP="001D52CD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 xml:space="preserve">Jednotková cena </w:t>
            </w:r>
            <w:r w:rsidRPr="00BC06EE">
              <w:rPr>
                <w:rFonts w:ascii="Cambria" w:hAnsi="Cambria" w:cs="Arial"/>
                <w:b/>
                <w:szCs w:val="20"/>
              </w:rPr>
              <w:t>za poskytovanie Služby prevádzky a údržby Sústavy verejného osvetlenia</w:t>
            </w:r>
            <w:r>
              <w:t xml:space="preserve"> </w:t>
            </w:r>
            <w:r w:rsidRPr="00B327B5">
              <w:rPr>
                <w:rFonts w:ascii="Cambria" w:hAnsi="Cambria" w:cs="Arial"/>
                <w:b/>
                <w:szCs w:val="20"/>
              </w:rPr>
              <w:t xml:space="preserve">za </w:t>
            </w:r>
            <w:r w:rsidR="002C18FD">
              <w:rPr>
                <w:rFonts w:ascii="Cambria" w:hAnsi="Cambria" w:cs="Arial"/>
                <w:b/>
                <w:szCs w:val="20"/>
              </w:rPr>
              <w:t>(1)</w:t>
            </w:r>
            <w:r w:rsidRPr="00B327B5">
              <w:rPr>
                <w:rFonts w:ascii="Cambria" w:hAnsi="Cambria" w:cs="Arial"/>
                <w:b/>
                <w:szCs w:val="20"/>
              </w:rPr>
              <w:t xml:space="preserve"> mesiac</w:t>
            </w:r>
            <w:r w:rsidR="002C18FD">
              <w:rPr>
                <w:rFonts w:ascii="Cambria" w:hAnsi="Cambria" w:cs="Arial"/>
                <w:b/>
                <w:szCs w:val="20"/>
              </w:rPr>
              <w:t xml:space="preserve"> </w:t>
            </w:r>
            <w:r w:rsidRPr="00B327B5">
              <w:rPr>
                <w:rFonts w:ascii="Cambria" w:hAnsi="Cambria" w:cs="Arial"/>
                <w:b/>
                <w:szCs w:val="20"/>
              </w:rPr>
              <w:t>pripadajúca na</w:t>
            </w:r>
            <w:r w:rsidR="002C18FD" w:rsidRPr="00B327B5">
              <w:rPr>
                <w:rFonts w:ascii="Cambria" w:hAnsi="Cambria" w:cs="Arial"/>
                <w:b/>
                <w:szCs w:val="20"/>
              </w:rPr>
              <w:t xml:space="preserve">  (</w:t>
            </w:r>
            <w:r w:rsidR="00CB3648">
              <w:rPr>
                <w:rFonts w:ascii="Cambria" w:hAnsi="Cambria" w:cs="Arial"/>
                <w:b/>
                <w:szCs w:val="20"/>
              </w:rPr>
              <w:t>1470</w:t>
            </w:r>
            <w:r w:rsidR="002C18FD" w:rsidRPr="00B327B5">
              <w:rPr>
                <w:rFonts w:ascii="Cambria" w:hAnsi="Cambria" w:cs="Arial"/>
                <w:b/>
                <w:szCs w:val="20"/>
              </w:rPr>
              <w:t>) svetelný</w:t>
            </w:r>
            <w:r w:rsidR="002C18FD">
              <w:rPr>
                <w:rFonts w:ascii="Cambria" w:hAnsi="Cambria" w:cs="Arial"/>
                <w:b/>
                <w:szCs w:val="20"/>
              </w:rPr>
              <w:t>ch bodov</w:t>
            </w:r>
            <w:r w:rsidR="002C18FD" w:rsidRPr="00B327B5">
              <w:rPr>
                <w:rFonts w:ascii="Cambria" w:hAnsi="Cambria" w:cs="Arial"/>
                <w:b/>
                <w:szCs w:val="20"/>
              </w:rPr>
              <w:t xml:space="preserve"> </w:t>
            </w:r>
          </w:p>
        </w:tc>
        <w:tc>
          <w:tcPr>
            <w:tcW w:w="1140" w:type="dxa"/>
            <w:shd w:val="clear" w:color="auto" w:fill="auto"/>
          </w:tcPr>
          <w:p w14:paraId="2361629A" w14:textId="29B4EEAF" w:rsidR="001D52CD" w:rsidRPr="00105C8E" w:rsidRDefault="001D52CD" w:rsidP="001D52CD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2F0158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A106491" w14:textId="198BBD49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doplniť kladné číslo zaokrúhlené na </w:t>
            </w:r>
            <w:r w:rsidR="00086E7C"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max. </w:t>
            </w:r>
            <w:r w:rsidR="00086E7C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4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11EEF87A" w14:textId="31BA1E9F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doplniť kladné číslo zaokrúhlené na </w:t>
            </w:r>
            <w:r w:rsidR="00086E7C"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max. </w:t>
            </w:r>
            <w:r w:rsidR="00086E7C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4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17BF2615" w14:textId="4D36C3F2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doplniť kladné číslo zaokrúhlené na </w:t>
            </w:r>
            <w:r w:rsidR="00086E7C"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 xml:space="preserve">max. </w:t>
            </w:r>
            <w:r w:rsidR="00086E7C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4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  <w:tr w:rsidR="001D52CD" w:rsidRPr="00105C8E" w14:paraId="64643E43" w14:textId="77777777" w:rsidTr="00AF544C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68C9A15E" w14:textId="77777777" w:rsidR="001D52CD" w:rsidRPr="00105C8E" w:rsidRDefault="001D52CD" w:rsidP="001D5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auto"/>
            <w:vAlign w:val="center"/>
          </w:tcPr>
          <w:p w14:paraId="1A407010" w14:textId="1FEC2CD9" w:rsidR="001D52CD" w:rsidRPr="00BC06EE" w:rsidRDefault="001D52CD" w:rsidP="001D52CD">
            <w:pPr>
              <w:spacing w:before="60" w:after="60"/>
              <w:rPr>
                <w:rFonts w:ascii="Cambria" w:hAnsi="Cambria" w:cs="Arial"/>
                <w:bCs/>
                <w:szCs w:val="20"/>
              </w:rPr>
            </w:pPr>
            <w:r w:rsidRPr="003E16DA">
              <w:rPr>
                <w:rFonts w:ascii="Cambria" w:hAnsi="Cambria" w:cs="Arial"/>
                <w:b/>
                <w:szCs w:val="20"/>
              </w:rPr>
              <w:t>C2 = Cena za poskytovanie Služby prevádzky</w:t>
            </w:r>
            <w:r w:rsidRPr="00BC06EE">
              <w:rPr>
                <w:rFonts w:ascii="Cambria" w:hAnsi="Cambria" w:cs="Arial"/>
                <w:b/>
                <w:szCs w:val="20"/>
              </w:rPr>
              <w:t xml:space="preserve"> a údržby Sústavy verejného osvetlenia</w:t>
            </w:r>
            <w:r>
              <w:t xml:space="preserve"> </w:t>
            </w:r>
            <w:r w:rsidRPr="00B327B5">
              <w:rPr>
                <w:rFonts w:ascii="Cambria" w:hAnsi="Cambria" w:cs="Arial"/>
                <w:b/>
                <w:szCs w:val="20"/>
              </w:rPr>
              <w:t>za (</w:t>
            </w:r>
            <w:r w:rsidR="00CB3648">
              <w:rPr>
                <w:rFonts w:ascii="Cambria" w:hAnsi="Cambria" w:cs="Arial"/>
                <w:b/>
                <w:szCs w:val="20"/>
              </w:rPr>
              <w:t>142</w:t>
            </w:r>
            <w:r w:rsidRPr="00B327B5">
              <w:rPr>
                <w:rFonts w:ascii="Cambria" w:hAnsi="Cambria" w:cs="Arial"/>
                <w:b/>
                <w:szCs w:val="20"/>
              </w:rPr>
              <w:t>) mesiac</w:t>
            </w:r>
            <w:r>
              <w:rPr>
                <w:rFonts w:ascii="Cambria" w:hAnsi="Cambria" w:cs="Arial"/>
                <w:b/>
                <w:szCs w:val="20"/>
              </w:rPr>
              <w:t>ov</w:t>
            </w:r>
            <w:r w:rsidR="00CB3648">
              <w:rPr>
                <w:rStyle w:val="FootnoteReference"/>
                <w:rFonts w:ascii="Cambria" w:hAnsi="Cambria" w:cs="Arial"/>
                <w:b/>
                <w:szCs w:val="20"/>
              </w:rPr>
              <w:footnoteReference w:id="3"/>
            </w:r>
            <w:r w:rsidRPr="00B327B5">
              <w:rPr>
                <w:rFonts w:ascii="Cambria" w:hAnsi="Cambria" w:cs="Arial"/>
                <w:b/>
                <w:szCs w:val="20"/>
              </w:rPr>
              <w:t xml:space="preserve"> pripadajúca na (</w:t>
            </w:r>
            <w:r w:rsidR="00CB3648">
              <w:rPr>
                <w:rFonts w:ascii="Cambria" w:hAnsi="Cambria" w:cs="Arial"/>
                <w:b/>
                <w:szCs w:val="20"/>
              </w:rPr>
              <w:t>1470</w:t>
            </w:r>
            <w:r w:rsidRPr="00B327B5">
              <w:rPr>
                <w:rFonts w:ascii="Cambria" w:hAnsi="Cambria" w:cs="Arial"/>
                <w:b/>
                <w:szCs w:val="20"/>
              </w:rPr>
              <w:t>) svetelný</w:t>
            </w:r>
            <w:r>
              <w:rPr>
                <w:rFonts w:ascii="Cambria" w:hAnsi="Cambria" w:cs="Arial"/>
                <w:b/>
                <w:szCs w:val="20"/>
              </w:rPr>
              <w:t>ch bodov</w:t>
            </w:r>
          </w:p>
        </w:tc>
        <w:tc>
          <w:tcPr>
            <w:tcW w:w="1140" w:type="dxa"/>
            <w:shd w:val="clear" w:color="auto" w:fill="auto"/>
          </w:tcPr>
          <w:p w14:paraId="3517D248" w14:textId="1D356D2B" w:rsidR="001D52CD" w:rsidRPr="00105C8E" w:rsidRDefault="001D52CD" w:rsidP="001D52CD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2F0158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DEADE08" w14:textId="0C817271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6654DCDA" w14:textId="5D10100C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60A99273" w14:textId="4C4482A3" w:rsidR="001D52CD" w:rsidRPr="00105C8E" w:rsidRDefault="001D52CD" w:rsidP="001D52CD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  <w:tr w:rsidR="000A2698" w:rsidRPr="00105C8E" w14:paraId="2547E71E" w14:textId="77777777" w:rsidTr="00605C39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E8BF6BD" w14:textId="77777777" w:rsidR="000A2698" w:rsidRPr="00105C8E" w:rsidRDefault="000A2698" w:rsidP="00605C3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7</w:t>
            </w: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3A85A5D9" w14:textId="77777777" w:rsidR="000A2698" w:rsidRPr="00986450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  <w:u w:val="single"/>
              </w:rPr>
            </w:pPr>
            <w:bookmarkStart w:id="0" w:name="_Hlk12194928"/>
            <w:r w:rsidRPr="00986450">
              <w:rPr>
                <w:rFonts w:ascii="Cambria" w:hAnsi="Cambria" w:cs="Arial"/>
                <w:b/>
                <w:szCs w:val="20"/>
                <w:u w:val="single"/>
              </w:rPr>
              <w:t>Hodnota Kritéria (C)</w:t>
            </w:r>
          </w:p>
          <w:p w14:paraId="343852F8" w14:textId="5AA624A2" w:rsidR="000A2698" w:rsidRDefault="000A2698" w:rsidP="00605C39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>
              <w:rPr>
                <w:rFonts w:ascii="Cambria" w:hAnsi="Cambria" w:cs="Arial"/>
                <w:b/>
                <w:color w:val="auto"/>
              </w:rPr>
              <w:t>Celková c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ena za </w:t>
            </w:r>
            <w:r w:rsidR="00F53307">
              <w:rPr>
                <w:rFonts w:ascii="Cambria" w:hAnsi="Cambria" w:cs="Arial"/>
                <w:b/>
                <w:color w:val="auto"/>
              </w:rPr>
              <w:t>plnenie zmluvy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 </w:t>
            </w:r>
          </w:p>
          <w:p w14:paraId="32D83C56" w14:textId="71E055A5" w:rsidR="0097750E" w:rsidRPr="00105C8E" w:rsidRDefault="0097750E" w:rsidP="00605C39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8E359D">
              <w:rPr>
                <w:rFonts w:ascii="Cambria" w:hAnsi="Cambria" w:cs="Arial"/>
                <w:b/>
                <w:color w:val="auto"/>
              </w:rPr>
              <w:t xml:space="preserve">(vypočítaná ako súčet hodnôt </w:t>
            </w:r>
            <w:r>
              <w:rPr>
                <w:rFonts w:ascii="Cambria" w:hAnsi="Cambria" w:cs="Arial"/>
                <w:b/>
                <w:color w:val="auto"/>
              </w:rPr>
              <w:t>C</w:t>
            </w:r>
            <w:r w:rsidRPr="008E359D">
              <w:rPr>
                <w:rFonts w:ascii="Cambria" w:hAnsi="Cambria" w:cs="Arial"/>
                <w:b/>
                <w:color w:val="auto"/>
              </w:rPr>
              <w:t xml:space="preserve">1 + </w:t>
            </w:r>
            <w:r>
              <w:rPr>
                <w:rFonts w:ascii="Cambria" w:hAnsi="Cambria" w:cs="Arial"/>
                <w:b/>
                <w:color w:val="auto"/>
              </w:rPr>
              <w:t>C</w:t>
            </w:r>
            <w:r w:rsidRPr="008E359D">
              <w:rPr>
                <w:rFonts w:ascii="Cambria" w:hAnsi="Cambria" w:cs="Arial"/>
                <w:b/>
                <w:color w:val="auto"/>
              </w:rPr>
              <w:t>2)</w:t>
            </w:r>
          </w:p>
          <w:bookmarkEnd w:id="0"/>
          <w:p w14:paraId="6FD3C577" w14:textId="15D9CA26" w:rsidR="000A2698" w:rsidRPr="00105C8E" w:rsidRDefault="000A2698" w:rsidP="00605C39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2A4B4A1D" w14:textId="77777777" w:rsidR="000A2698" w:rsidRPr="00105C8E" w:rsidRDefault="000A2698" w:rsidP="00605C39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566F2F5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79837239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42C1F103" w14:textId="77777777" w:rsidR="000A2698" w:rsidRPr="00105C8E" w:rsidRDefault="000A2698" w:rsidP="00605C39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</w:tbl>
    <w:p w14:paraId="527A3A5F" w14:textId="6DD273AF" w:rsidR="000A2698" w:rsidRDefault="000A2698" w:rsidP="000A2698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2987D73E" w14:textId="77777777" w:rsidR="00DF08D7" w:rsidRDefault="00DF08D7" w:rsidP="000A2698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361E2B80" w14:textId="77777777" w:rsidR="000A2698" w:rsidRPr="00105C8E" w:rsidRDefault="000A2698" w:rsidP="000A2698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A2698" w:rsidRPr="00105C8E" w14:paraId="2ADF21C5" w14:textId="77777777" w:rsidTr="00605C39">
        <w:tc>
          <w:tcPr>
            <w:tcW w:w="4531" w:type="dxa"/>
          </w:tcPr>
          <w:p w14:paraId="3E7790F0" w14:textId="77777777" w:rsidR="000A2698" w:rsidRPr="00105C8E" w:rsidRDefault="000A2698" w:rsidP="00605C39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</w:p>
          <w:p w14:paraId="0C000CF3" w14:textId="77777777" w:rsidR="000A2698" w:rsidRPr="00105C8E" w:rsidRDefault="000A2698" w:rsidP="00605C39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8FD7DDF" w14:textId="77777777" w:rsidR="000A2698" w:rsidRPr="00105C8E" w:rsidRDefault="000A2698" w:rsidP="00605C39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2FD2CBAC" w14:textId="77777777" w:rsidR="000A2698" w:rsidRPr="00105C8E" w:rsidRDefault="000A2698" w:rsidP="00605C3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4DC6278" w14:textId="77777777" w:rsidR="000A2698" w:rsidRPr="00105C8E" w:rsidRDefault="000A2698" w:rsidP="00605C39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5BA7F64" w14:textId="77777777" w:rsidR="000A2698" w:rsidRPr="00105C8E" w:rsidRDefault="000A2698" w:rsidP="00605C39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EB60B72" w14:textId="77777777" w:rsidR="000A2698" w:rsidRPr="00105C8E" w:rsidRDefault="000A2698" w:rsidP="00605C39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58E218BC" w14:textId="77777777" w:rsidR="000A2698" w:rsidRPr="00105C8E" w:rsidRDefault="000A2698" w:rsidP="00605C39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4DBDC1B" w14:textId="77777777" w:rsidR="000A2698" w:rsidRPr="00105C8E" w:rsidRDefault="000A2698" w:rsidP="00605C39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197E2A8" w14:textId="77777777" w:rsidR="000A2698" w:rsidRPr="00105C8E" w:rsidRDefault="000A2698" w:rsidP="00605C39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0A2698" w:rsidRPr="00105C8E" w14:paraId="3197DA64" w14:textId="77777777" w:rsidTr="00605C39">
        <w:tc>
          <w:tcPr>
            <w:tcW w:w="4531" w:type="dxa"/>
          </w:tcPr>
          <w:p w14:paraId="4D1F5B22" w14:textId="77777777" w:rsidR="000A2698" w:rsidRPr="00105C8E" w:rsidRDefault="000A2698" w:rsidP="00605C3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6F7F5A7" w14:textId="77777777" w:rsidR="000A2698" w:rsidRPr="00105C8E" w:rsidRDefault="000A2698" w:rsidP="00605C39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29A1F630" w14:textId="77777777" w:rsidR="000A2698" w:rsidRPr="00105C8E" w:rsidRDefault="000A2698" w:rsidP="000A2698">
      <w:pPr>
        <w:rPr>
          <w:rFonts w:ascii="Cambria" w:hAnsi="Cambria"/>
          <w:sz w:val="20"/>
          <w:szCs w:val="20"/>
        </w:rPr>
      </w:pPr>
    </w:p>
    <w:p w14:paraId="4F964434" w14:textId="77777777" w:rsidR="0068741B" w:rsidRPr="000A2698" w:rsidRDefault="0068741B" w:rsidP="000A2698"/>
    <w:sectPr w:rsidR="0068741B" w:rsidRPr="000A2698" w:rsidSect="00010DDC">
      <w:headerReference w:type="first" r:id="rId8"/>
      <w:pgSz w:w="11906" w:h="16838"/>
      <w:pgMar w:top="184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E4305" w14:textId="77777777" w:rsidR="007A0554" w:rsidRDefault="007A0554" w:rsidP="006F6013">
      <w:r>
        <w:separator/>
      </w:r>
    </w:p>
  </w:endnote>
  <w:endnote w:type="continuationSeparator" w:id="0">
    <w:p w14:paraId="1EB07F85" w14:textId="77777777" w:rsidR="007A0554" w:rsidRDefault="007A0554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70F43" w14:textId="77777777" w:rsidR="007A0554" w:rsidRDefault="007A0554" w:rsidP="006F6013">
      <w:r>
        <w:separator/>
      </w:r>
    </w:p>
  </w:footnote>
  <w:footnote w:type="continuationSeparator" w:id="0">
    <w:p w14:paraId="62F87692" w14:textId="77777777" w:rsidR="007A0554" w:rsidRDefault="007A0554" w:rsidP="006F6013">
      <w:r>
        <w:continuationSeparator/>
      </w:r>
    </w:p>
  </w:footnote>
  <w:footnote w:id="1">
    <w:p w14:paraId="456E4A55" w14:textId="21EE9902" w:rsidR="000A2698" w:rsidRPr="00183734" w:rsidRDefault="000A2698" w:rsidP="000A2698">
      <w:pPr>
        <w:pStyle w:val="FootnoteText"/>
        <w:rPr>
          <w:rFonts w:ascii="Cambria" w:hAnsi="Cambria"/>
          <w:sz w:val="18"/>
          <w:szCs w:val="18"/>
        </w:rPr>
      </w:pPr>
      <w:r w:rsidRPr="00183734">
        <w:rPr>
          <w:rStyle w:val="FootnoteReference"/>
          <w:rFonts w:ascii="Cambria" w:hAnsi="Cambria"/>
          <w:sz w:val="18"/>
          <w:szCs w:val="18"/>
        </w:rPr>
        <w:footnoteRef/>
      </w:r>
      <w:r w:rsidRPr="00183734">
        <w:rPr>
          <w:rFonts w:ascii="Cambria" w:hAnsi="Cambria"/>
          <w:sz w:val="18"/>
          <w:szCs w:val="18"/>
        </w:rPr>
        <w:t xml:space="preserve"> </w:t>
      </w:r>
      <w:r w:rsidR="00262699" w:rsidRPr="00262699">
        <w:rPr>
          <w:rFonts w:ascii="Cambria" w:hAnsi="Cambria"/>
          <w:sz w:val="18"/>
          <w:szCs w:val="18"/>
        </w:rPr>
        <w:t>Verejný obstarávateľ požaduje, aby celkové Garantované ročné úspory dosahovali takú hodnotu, aby ročné Platby za GES (ako je tento pojem definovaný v zmluve, vrátane DPH) boli nižšie alebo maximálne rovnaké ako objem Garantovaných ročných úspor</w:t>
      </w:r>
      <w:r w:rsidRPr="00183734">
        <w:rPr>
          <w:rFonts w:ascii="Cambria" w:hAnsi="Cambria"/>
          <w:sz w:val="18"/>
          <w:szCs w:val="18"/>
        </w:rPr>
        <w:t>.</w:t>
      </w:r>
    </w:p>
  </w:footnote>
  <w:footnote w:id="2">
    <w:p w14:paraId="33266FE1" w14:textId="0CF97561" w:rsidR="000A2698" w:rsidRPr="00183734" w:rsidRDefault="000A2698" w:rsidP="000A2698">
      <w:pPr>
        <w:pStyle w:val="FootnoteText"/>
        <w:rPr>
          <w:rFonts w:ascii="Cambria" w:hAnsi="Cambria"/>
          <w:sz w:val="18"/>
          <w:szCs w:val="18"/>
        </w:rPr>
      </w:pPr>
      <w:r w:rsidRPr="00183734">
        <w:rPr>
          <w:rStyle w:val="FootnoteReference"/>
          <w:rFonts w:ascii="Cambria" w:hAnsi="Cambria"/>
          <w:sz w:val="18"/>
          <w:szCs w:val="18"/>
        </w:rPr>
        <w:footnoteRef/>
      </w:r>
      <w:r w:rsidRPr="00183734">
        <w:rPr>
          <w:rFonts w:ascii="Cambria" w:hAnsi="Cambria"/>
          <w:sz w:val="18"/>
          <w:szCs w:val="18"/>
        </w:rPr>
        <w:t xml:space="preserve"> Celkové garantované úspory energetických nákladov počas celej doby trvania zmluvy vrátane DPH musia byť rovné alebo vyššie ako </w:t>
      </w:r>
      <w:r w:rsidR="00BE6F0F">
        <w:rPr>
          <w:rFonts w:ascii="Cambria" w:hAnsi="Cambria"/>
          <w:sz w:val="18"/>
          <w:szCs w:val="18"/>
        </w:rPr>
        <w:t>hodnota (B)</w:t>
      </w:r>
      <w:r w:rsidRPr="00183734">
        <w:rPr>
          <w:rFonts w:ascii="Cambria" w:hAnsi="Cambria"/>
          <w:sz w:val="18"/>
          <w:szCs w:val="18"/>
        </w:rPr>
        <w:t xml:space="preserve"> vrátane DPH.</w:t>
      </w:r>
    </w:p>
    <w:p w14:paraId="649ECBC6" w14:textId="77777777" w:rsidR="000A2698" w:rsidRPr="004F7023" w:rsidRDefault="000A2698" w:rsidP="000A2698">
      <w:pPr>
        <w:pStyle w:val="FootnoteText"/>
        <w:rPr>
          <w:rFonts w:ascii="Cambria" w:hAnsi="Cambria"/>
        </w:rPr>
      </w:pPr>
    </w:p>
  </w:footnote>
  <w:footnote w:id="3">
    <w:p w14:paraId="42814864" w14:textId="1683FE03" w:rsidR="00CB3648" w:rsidRDefault="00CB3648" w:rsidP="004A6C2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B3648">
        <w:rPr>
          <w:rFonts w:ascii="Cambria" w:hAnsi="Cambria"/>
          <w:sz w:val="18"/>
          <w:szCs w:val="18"/>
        </w:rPr>
        <w:t>Prevádzka sústavy verejného osvetlenia</w:t>
      </w:r>
      <w:r>
        <w:rPr>
          <w:rFonts w:ascii="Cambria" w:hAnsi="Cambria"/>
          <w:sz w:val="18"/>
          <w:szCs w:val="18"/>
        </w:rPr>
        <w:t xml:space="preserve"> bude vykonávaná </w:t>
      </w:r>
      <w:r w:rsidRPr="00CB3648">
        <w:rPr>
          <w:rFonts w:ascii="Cambria" w:hAnsi="Cambria"/>
          <w:sz w:val="18"/>
          <w:szCs w:val="18"/>
        </w:rPr>
        <w:t>odo dňa prevzatia Sústavy verejného osvetlenia (30 dní odo dňa nadobudnutia účinnosti Zmluvy) do uplynutia 11 rokov odo dňa vykonania Diela</w:t>
      </w:r>
      <w:r w:rsidR="004A6C26">
        <w:rPr>
          <w:rFonts w:ascii="Cambria" w:hAnsi="Cambria"/>
          <w:sz w:val="18"/>
          <w:szCs w:val="18"/>
        </w:rPr>
        <w:t xml:space="preserve"> (pri predpoklade lehoty vykonania diela v trvaní 11 mesiacov odo dňa nadobudnutia účinnosti zmluvy)</w:t>
      </w:r>
      <w:r w:rsidRPr="00CB3648">
        <w:rPr>
          <w:rFonts w:ascii="Cambria" w:hAnsi="Cambria"/>
          <w:sz w:val="18"/>
          <w:szCs w:val="18"/>
        </w:rPr>
        <w:t>; t. j. celkový predpoklad 11 rokov aj 10 mesiacov = (142) mesiacov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45FDC" w14:textId="433105AF" w:rsidR="00010DDC" w:rsidRPr="002F433C" w:rsidRDefault="00010DDC" w:rsidP="00010DD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2F433C">
      <w:rPr>
        <w:rFonts w:ascii="Cambria" w:hAnsi="Cambria"/>
        <w:b/>
        <w:sz w:val="20"/>
        <w:szCs w:val="20"/>
      </w:rPr>
      <w:t xml:space="preserve">Príloha C1 Súťažných podkladov: </w:t>
    </w:r>
  </w:p>
  <w:p w14:paraId="777E8829" w14:textId="77777777" w:rsidR="00010DDC" w:rsidRPr="002F433C" w:rsidRDefault="00010DDC" w:rsidP="00010DD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2F433C">
      <w:rPr>
        <w:rFonts w:ascii="Cambria" w:hAnsi="Cambria"/>
        <w:b/>
        <w:sz w:val="20"/>
        <w:szCs w:val="20"/>
      </w:rPr>
      <w:t>Návrh na plnenie kritérií (vzor)</w:t>
    </w:r>
  </w:p>
  <w:p w14:paraId="4C3A75DE" w14:textId="77777777" w:rsidR="00010DDC" w:rsidRPr="002F433C" w:rsidRDefault="00010DDC" w:rsidP="00010DDC">
    <w:pPr>
      <w:pStyle w:val="Header"/>
      <w:rPr>
        <w:rFonts w:ascii="Cambria" w:hAnsi="Cambria"/>
      </w:rPr>
    </w:pPr>
  </w:p>
  <w:p w14:paraId="080F0D60" w14:textId="77777777" w:rsidR="00010DDC" w:rsidRPr="002F433C" w:rsidRDefault="00010DDC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E3819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803532">
    <w:abstractNumId w:val="4"/>
  </w:num>
  <w:num w:numId="2" w16cid:durableId="657615369">
    <w:abstractNumId w:val="2"/>
  </w:num>
  <w:num w:numId="3" w16cid:durableId="584799169">
    <w:abstractNumId w:val="7"/>
  </w:num>
  <w:num w:numId="4" w16cid:durableId="425999611">
    <w:abstractNumId w:val="5"/>
  </w:num>
  <w:num w:numId="5" w16cid:durableId="238443709">
    <w:abstractNumId w:val="0"/>
  </w:num>
  <w:num w:numId="6" w16cid:durableId="539897464">
    <w:abstractNumId w:val="3"/>
  </w:num>
  <w:num w:numId="7" w16cid:durableId="470102957">
    <w:abstractNumId w:val="1"/>
  </w:num>
  <w:num w:numId="8" w16cid:durableId="21057641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0DDC"/>
    <w:rsid w:val="00014B2C"/>
    <w:rsid w:val="000213C0"/>
    <w:rsid w:val="0005255C"/>
    <w:rsid w:val="00052B15"/>
    <w:rsid w:val="00073960"/>
    <w:rsid w:val="00080CD0"/>
    <w:rsid w:val="00086E7C"/>
    <w:rsid w:val="0009508E"/>
    <w:rsid w:val="000A2698"/>
    <w:rsid w:val="000A2844"/>
    <w:rsid w:val="000F2663"/>
    <w:rsid w:val="00101CA3"/>
    <w:rsid w:val="00105C8E"/>
    <w:rsid w:val="001258E1"/>
    <w:rsid w:val="00127830"/>
    <w:rsid w:val="00140FA5"/>
    <w:rsid w:val="001816EB"/>
    <w:rsid w:val="00186F71"/>
    <w:rsid w:val="001C1581"/>
    <w:rsid w:val="001D52CD"/>
    <w:rsid w:val="00216C29"/>
    <w:rsid w:val="0024214D"/>
    <w:rsid w:val="00242177"/>
    <w:rsid w:val="0024471D"/>
    <w:rsid w:val="00262699"/>
    <w:rsid w:val="00281CDE"/>
    <w:rsid w:val="002C18FD"/>
    <w:rsid w:val="002D406C"/>
    <w:rsid w:val="002F0A45"/>
    <w:rsid w:val="002F1B99"/>
    <w:rsid w:val="002F3951"/>
    <w:rsid w:val="002F433C"/>
    <w:rsid w:val="0033632E"/>
    <w:rsid w:val="00343EB9"/>
    <w:rsid w:val="0036449F"/>
    <w:rsid w:val="00386488"/>
    <w:rsid w:val="003C48F0"/>
    <w:rsid w:val="003D1023"/>
    <w:rsid w:val="003D643B"/>
    <w:rsid w:val="003E16DA"/>
    <w:rsid w:val="003E5AA6"/>
    <w:rsid w:val="003F6960"/>
    <w:rsid w:val="00411C3F"/>
    <w:rsid w:val="004A6C26"/>
    <w:rsid w:val="004C3D40"/>
    <w:rsid w:val="004D0EFF"/>
    <w:rsid w:val="004D7353"/>
    <w:rsid w:val="004F18DD"/>
    <w:rsid w:val="0050287D"/>
    <w:rsid w:val="00527760"/>
    <w:rsid w:val="005C061B"/>
    <w:rsid w:val="005C2135"/>
    <w:rsid w:val="005F1C9A"/>
    <w:rsid w:val="005F5333"/>
    <w:rsid w:val="00602D34"/>
    <w:rsid w:val="00606ECA"/>
    <w:rsid w:val="00664CA8"/>
    <w:rsid w:val="00673A4C"/>
    <w:rsid w:val="00675626"/>
    <w:rsid w:val="0068741B"/>
    <w:rsid w:val="006B5C0D"/>
    <w:rsid w:val="006D0A53"/>
    <w:rsid w:val="006D48EC"/>
    <w:rsid w:val="006D6132"/>
    <w:rsid w:val="006F130D"/>
    <w:rsid w:val="006F6013"/>
    <w:rsid w:val="00746C13"/>
    <w:rsid w:val="00754957"/>
    <w:rsid w:val="007652E6"/>
    <w:rsid w:val="007664CC"/>
    <w:rsid w:val="0077406B"/>
    <w:rsid w:val="00785A19"/>
    <w:rsid w:val="007A0554"/>
    <w:rsid w:val="007B44A2"/>
    <w:rsid w:val="007D0802"/>
    <w:rsid w:val="007E018F"/>
    <w:rsid w:val="00801CED"/>
    <w:rsid w:val="00805177"/>
    <w:rsid w:val="00820AD6"/>
    <w:rsid w:val="00843110"/>
    <w:rsid w:val="0084567E"/>
    <w:rsid w:val="008609CC"/>
    <w:rsid w:val="008B0FAA"/>
    <w:rsid w:val="008B2B0E"/>
    <w:rsid w:val="008B6769"/>
    <w:rsid w:val="008E58DD"/>
    <w:rsid w:val="00915CD5"/>
    <w:rsid w:val="009330D9"/>
    <w:rsid w:val="0093333B"/>
    <w:rsid w:val="00950DA4"/>
    <w:rsid w:val="00962F93"/>
    <w:rsid w:val="00966662"/>
    <w:rsid w:val="0097750E"/>
    <w:rsid w:val="00994933"/>
    <w:rsid w:val="009C40AD"/>
    <w:rsid w:val="009C4B8E"/>
    <w:rsid w:val="009D03B6"/>
    <w:rsid w:val="009D08D4"/>
    <w:rsid w:val="00A25018"/>
    <w:rsid w:val="00A60263"/>
    <w:rsid w:val="00A70101"/>
    <w:rsid w:val="00A7284A"/>
    <w:rsid w:val="00A77414"/>
    <w:rsid w:val="00AD5FF9"/>
    <w:rsid w:val="00AE4DAE"/>
    <w:rsid w:val="00B20243"/>
    <w:rsid w:val="00B265F3"/>
    <w:rsid w:val="00B327B5"/>
    <w:rsid w:val="00B33A88"/>
    <w:rsid w:val="00B42249"/>
    <w:rsid w:val="00B5277C"/>
    <w:rsid w:val="00B5424B"/>
    <w:rsid w:val="00B65B38"/>
    <w:rsid w:val="00B81077"/>
    <w:rsid w:val="00B97BE3"/>
    <w:rsid w:val="00BC06EE"/>
    <w:rsid w:val="00BE45DC"/>
    <w:rsid w:val="00BE6F0F"/>
    <w:rsid w:val="00BF3508"/>
    <w:rsid w:val="00BF623F"/>
    <w:rsid w:val="00BF75FF"/>
    <w:rsid w:val="00C27F16"/>
    <w:rsid w:val="00C53CFB"/>
    <w:rsid w:val="00C622B4"/>
    <w:rsid w:val="00C626B3"/>
    <w:rsid w:val="00C64DB4"/>
    <w:rsid w:val="00C67C65"/>
    <w:rsid w:val="00CA3528"/>
    <w:rsid w:val="00CB3648"/>
    <w:rsid w:val="00CC2234"/>
    <w:rsid w:val="00CD0876"/>
    <w:rsid w:val="00CE1D4C"/>
    <w:rsid w:val="00D10FAA"/>
    <w:rsid w:val="00D169C6"/>
    <w:rsid w:val="00D22706"/>
    <w:rsid w:val="00D27A45"/>
    <w:rsid w:val="00D50C0A"/>
    <w:rsid w:val="00D531F3"/>
    <w:rsid w:val="00D57514"/>
    <w:rsid w:val="00D60570"/>
    <w:rsid w:val="00D60CBC"/>
    <w:rsid w:val="00D72B60"/>
    <w:rsid w:val="00D77187"/>
    <w:rsid w:val="00DA385C"/>
    <w:rsid w:val="00DA748F"/>
    <w:rsid w:val="00DF08D7"/>
    <w:rsid w:val="00DF3E4B"/>
    <w:rsid w:val="00E3046C"/>
    <w:rsid w:val="00E62CEA"/>
    <w:rsid w:val="00E667DD"/>
    <w:rsid w:val="00E87643"/>
    <w:rsid w:val="00E914ED"/>
    <w:rsid w:val="00EE64AC"/>
    <w:rsid w:val="00EF2581"/>
    <w:rsid w:val="00F13427"/>
    <w:rsid w:val="00F53307"/>
    <w:rsid w:val="00F61398"/>
    <w:rsid w:val="00F630D7"/>
    <w:rsid w:val="00F72FAF"/>
    <w:rsid w:val="00F77980"/>
    <w:rsid w:val="00F85391"/>
    <w:rsid w:val="00FB05CE"/>
    <w:rsid w:val="00FB4205"/>
    <w:rsid w:val="00FD03DD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D5A70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434B-3CB7-4ADC-A230-D2BE3ADA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69</cp:revision>
  <dcterms:created xsi:type="dcterms:W3CDTF">2019-04-12T09:31:00Z</dcterms:created>
  <dcterms:modified xsi:type="dcterms:W3CDTF">2022-08-11T12:47:00Z</dcterms:modified>
</cp:coreProperties>
</file>